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FD3535">
        <w:rPr>
          <w:rFonts w:ascii="Times New Roman" w:hAnsi="Times New Roman"/>
          <w:b/>
          <w:sz w:val="28"/>
          <w:szCs w:val="28"/>
        </w:rPr>
        <w:t>РАБ_4</w:t>
      </w:r>
      <w:r w:rsidR="002B775E">
        <w:rPr>
          <w:rFonts w:ascii="Times New Roman" w:hAnsi="Times New Roman"/>
          <w:b/>
          <w:sz w:val="28"/>
          <w:szCs w:val="28"/>
        </w:rPr>
        <w:t>3</w:t>
      </w:r>
      <w:r w:rsidR="00FC49E0">
        <w:rPr>
          <w:rFonts w:ascii="Times New Roman" w:hAnsi="Times New Roman"/>
          <w:b/>
          <w:sz w:val="28"/>
          <w:szCs w:val="28"/>
        </w:rPr>
        <w:t>7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DB4491">
        <w:rPr>
          <w:rFonts w:ascii="Times New Roman" w:hAnsi="Times New Roman"/>
          <w:b/>
          <w:sz w:val="28"/>
          <w:szCs w:val="28"/>
        </w:rPr>
        <w:t>21</w:t>
      </w:r>
      <w:r w:rsidR="00FC49E0">
        <w:rPr>
          <w:rFonts w:ascii="Times New Roman" w:hAnsi="Times New Roman"/>
          <w:b/>
          <w:sz w:val="28"/>
          <w:szCs w:val="28"/>
        </w:rPr>
        <w:t>.01.2019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FC49E0" w:rsidRPr="00FC49E0" w:rsidRDefault="00034F58" w:rsidP="00FC49E0">
      <w:pPr>
        <w:pStyle w:val="Style45"/>
        <w:widowControl/>
        <w:numPr>
          <w:ilvl w:val="1"/>
          <w:numId w:val="4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FC49E0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FC49E0">
        <w:rPr>
          <w:color w:val="000000"/>
          <w:sz w:val="20"/>
          <w:szCs w:val="20"/>
          <w:lang w:eastAsia="en-US"/>
        </w:rPr>
        <w:t xml:space="preserve"> по</w:t>
      </w:r>
      <w:r w:rsidRPr="00FC49E0">
        <w:rPr>
          <w:color w:val="000000"/>
          <w:sz w:val="20"/>
          <w:szCs w:val="20"/>
          <w:lang w:eastAsia="en-US"/>
        </w:rPr>
        <w:t xml:space="preserve">: </w:t>
      </w:r>
      <w:r w:rsidR="00FC49E0" w:rsidRPr="00FC49E0">
        <w:rPr>
          <w:b/>
          <w:sz w:val="20"/>
          <w:szCs w:val="20"/>
          <w:lang w:eastAsia="en-US"/>
        </w:rPr>
        <w:t>Выполнение работы по приему отходов, образующихся от производственной деятельности</w:t>
      </w:r>
      <w:r w:rsidR="00FC49E0">
        <w:rPr>
          <w:b/>
          <w:sz w:val="20"/>
          <w:szCs w:val="20"/>
          <w:lang w:eastAsia="en-US"/>
        </w:rPr>
        <w:t>.</w:t>
      </w:r>
    </w:p>
    <w:p w:rsidR="00034F58" w:rsidRPr="00FC49E0" w:rsidRDefault="00034F58" w:rsidP="00FC49E0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FC49E0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DB4491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DB4491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B4491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DB4491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B4491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DB4491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B4491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Место проведения торгов: г. 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DB4491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B4491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144C56"/>
    <w:rsid w:val="001F23AD"/>
    <w:rsid w:val="002B775E"/>
    <w:rsid w:val="002F053C"/>
    <w:rsid w:val="0030437B"/>
    <w:rsid w:val="00346F68"/>
    <w:rsid w:val="003F5E07"/>
    <w:rsid w:val="004D1879"/>
    <w:rsid w:val="005333CE"/>
    <w:rsid w:val="0057484C"/>
    <w:rsid w:val="00587A35"/>
    <w:rsid w:val="005D59F9"/>
    <w:rsid w:val="006709FB"/>
    <w:rsid w:val="0073576D"/>
    <w:rsid w:val="0075187B"/>
    <w:rsid w:val="00856A2C"/>
    <w:rsid w:val="008A6C29"/>
    <w:rsid w:val="009A50DE"/>
    <w:rsid w:val="00B37952"/>
    <w:rsid w:val="00DB4491"/>
    <w:rsid w:val="00DF3800"/>
    <w:rsid w:val="00E81D03"/>
    <w:rsid w:val="00F8687F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2879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2019-02-05T05:46:00Z</dcterms:created>
  <dcterms:modified xsi:type="dcterms:W3CDTF">2019-02-05T05:46:00Z</dcterms:modified>
</cp:coreProperties>
</file>